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4"/>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80" w:type="dxa"/>
            <w:vAlign w:val="bottom"/>
            <w:gridSpan w:val="3"/>
          </w:tcPr>
          <w:p>
            <w:pPr>
              <w:ind w:left="16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2160" w:type="dxa"/>
            <w:vAlign w:val="bottom"/>
            <w:gridSpan w:val="2"/>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SWEENEY GERARD H</w:t>
              </w:r>
            </w:hyperlink>
          </w:p>
        </w:tc>
        <w:tc>
          <w:tcPr>
            <w:tcW w:w="1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3"/>
          </w:tcPr>
          <w:p>
            <w:pPr>
              <w:spacing w:after="0" w:line="18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BRANDYWINE REALTY TRUST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BDN</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160" w:type="dxa"/>
            <w:vAlign w:val="bottom"/>
            <w:gridSpan w:val="2"/>
            <w:vMerge w:val="continue"/>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940" w:type="dxa"/>
            <w:vAlign w:val="bottom"/>
            <w:shd w:val="clear" w:color="auto" w:fill="0000EE"/>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
        </w:trPr>
        <w:tc>
          <w:tcPr>
            <w:tcW w:w="40" w:type="dxa"/>
            <w:vAlign w:val="bottom"/>
          </w:tcPr>
          <w:p>
            <w:pPr>
              <w:spacing w:after="0"/>
              <w:rPr>
                <w:sz w:val="5"/>
                <w:szCs w:val="5"/>
                <w:color w:val="auto"/>
              </w:rPr>
            </w:pPr>
          </w:p>
        </w:tc>
        <w:tc>
          <w:tcPr>
            <w:tcW w:w="2160" w:type="dxa"/>
            <w:vAlign w:val="bottom"/>
            <w:tcBorders>
              <w:bottom w:val="single" w:sz="8" w:color="0000EE"/>
            </w:tcBorders>
            <w:gridSpan w:val="2"/>
            <w:vMerge w:val="continue"/>
          </w:tcPr>
          <w:p>
            <w:pPr>
              <w:spacing w:after="0"/>
              <w:rPr>
                <w:sz w:val="5"/>
                <w:szCs w:val="5"/>
                <w:color w:val="auto"/>
              </w:rPr>
            </w:pPr>
          </w:p>
        </w:tc>
        <w:tc>
          <w:tcPr>
            <w:tcW w:w="1480" w:type="dxa"/>
            <w:vAlign w:val="bottom"/>
          </w:tcPr>
          <w:p>
            <w:pPr>
              <w:spacing w:after="0"/>
              <w:rPr>
                <w:sz w:val="5"/>
                <w:szCs w:val="5"/>
                <w:color w:val="auto"/>
              </w:rPr>
            </w:pPr>
          </w:p>
        </w:tc>
        <w:tc>
          <w:tcPr>
            <w:tcW w:w="280" w:type="dxa"/>
            <w:vAlign w:val="bottom"/>
            <w:gridSpan w:val="3"/>
            <w:vMerge w:val="restart"/>
          </w:tcPr>
          <w:p>
            <w:pPr>
              <w:ind w:left="160"/>
              <w:spacing w:after="0"/>
              <w:rPr>
                <w:sz w:val="20"/>
                <w:szCs w:val="20"/>
                <w:color w:val="auto"/>
              </w:rPr>
            </w:pPr>
            <w:r>
              <w:rPr>
                <w:rFonts w:ascii="Times New Roman" w:cs="Times New Roman" w:eastAsia="Times New Roman" w:hAnsi="Times New Roman"/>
                <w:sz w:val="21"/>
                <w:szCs w:val="21"/>
                <w:color w:val="auto"/>
              </w:rPr>
              <w:t>]</w:t>
            </w:r>
          </w:p>
        </w:tc>
        <w:tc>
          <w:tcPr>
            <w:tcW w:w="2940" w:type="dxa"/>
            <w:vAlign w:val="bottom"/>
          </w:tcPr>
          <w:p>
            <w:pPr>
              <w:spacing w:after="0"/>
              <w:rPr>
                <w:sz w:val="5"/>
                <w:szCs w:val="5"/>
                <w:color w:val="auto"/>
              </w:rPr>
            </w:pPr>
          </w:p>
        </w:tc>
        <w:tc>
          <w:tcPr>
            <w:tcW w:w="6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3"/>
        </w:trPr>
        <w:tc>
          <w:tcPr>
            <w:tcW w:w="40" w:type="dxa"/>
            <w:vAlign w:val="bottom"/>
          </w:tcPr>
          <w:p>
            <w:pPr>
              <w:spacing w:after="0"/>
              <w:rPr>
                <w:sz w:val="15"/>
                <w:szCs w:val="15"/>
                <w:color w:val="auto"/>
              </w:rPr>
            </w:pPr>
          </w:p>
        </w:tc>
        <w:tc>
          <w:tcPr>
            <w:tcW w:w="780" w:type="dxa"/>
            <w:vAlign w:val="bottom"/>
            <w:tcBorders>
              <w:bottom w:val="single" w:sz="8" w:color="9A9A9A"/>
            </w:tcBorders>
          </w:tcPr>
          <w:p>
            <w:pPr>
              <w:spacing w:after="0"/>
              <w:rPr>
                <w:sz w:val="15"/>
                <w:szCs w:val="15"/>
                <w:color w:val="auto"/>
              </w:rPr>
            </w:pPr>
          </w:p>
        </w:tc>
        <w:tc>
          <w:tcPr>
            <w:tcW w:w="1380" w:type="dxa"/>
            <w:vAlign w:val="bottom"/>
            <w:tcBorders>
              <w:bottom w:val="single" w:sz="8" w:color="9A9A9A"/>
            </w:tcBorders>
          </w:tcPr>
          <w:p>
            <w:pPr>
              <w:spacing w:after="0"/>
              <w:rPr>
                <w:sz w:val="15"/>
                <w:szCs w:val="15"/>
                <w:color w:val="auto"/>
              </w:rPr>
            </w:pPr>
          </w:p>
        </w:tc>
        <w:tc>
          <w:tcPr>
            <w:tcW w:w="1480" w:type="dxa"/>
            <w:vAlign w:val="bottom"/>
            <w:tcBorders>
              <w:bottom w:val="single" w:sz="8" w:color="9A9A9A"/>
            </w:tcBorders>
          </w:tcPr>
          <w:p>
            <w:pPr>
              <w:spacing w:after="0"/>
              <w:rPr>
                <w:sz w:val="15"/>
                <w:szCs w:val="15"/>
                <w:color w:val="auto"/>
              </w:rPr>
            </w:pPr>
          </w:p>
        </w:tc>
        <w:tc>
          <w:tcPr>
            <w:tcW w:w="280" w:type="dxa"/>
            <w:vAlign w:val="bottom"/>
            <w:gridSpan w:val="3"/>
            <w:vMerge w:val="continue"/>
          </w:tcPr>
          <w:p>
            <w:pPr>
              <w:spacing w:after="0"/>
              <w:rPr>
                <w:sz w:val="15"/>
                <w:szCs w:val="15"/>
                <w:color w:val="auto"/>
              </w:rPr>
            </w:pPr>
          </w:p>
        </w:tc>
        <w:tc>
          <w:tcPr>
            <w:tcW w:w="29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3"/>
        </w:trPr>
        <w:tc>
          <w:tcPr>
            <w:tcW w:w="40" w:type="dxa"/>
            <w:vAlign w:val="bottom"/>
          </w:tcPr>
          <w:p>
            <w:pPr>
              <w:spacing w:after="0"/>
              <w:rPr>
                <w:sz w:val="20"/>
                <w:szCs w:val="20"/>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380" w:type="dxa"/>
            <w:vAlign w:val="bottom"/>
            <w:vMerge w:val="restart"/>
          </w:tcPr>
          <w:p>
            <w:pPr>
              <w:ind w:left="440"/>
              <w:spacing w:after="0"/>
              <w:rPr>
                <w:sz w:val="20"/>
                <w:szCs w:val="20"/>
                <w:color w:val="auto"/>
              </w:rPr>
            </w:pPr>
            <w:r>
              <w:rPr>
                <w:rFonts w:ascii="Arial" w:cs="Arial" w:eastAsia="Arial" w:hAnsi="Arial"/>
                <w:sz w:val="13"/>
                <w:szCs w:val="13"/>
                <w:color w:val="auto"/>
              </w:rPr>
              <w:t>(First)</w:t>
            </w:r>
          </w:p>
        </w:tc>
        <w:tc>
          <w:tcPr>
            <w:tcW w:w="1480" w:type="dxa"/>
            <w:vAlign w:val="bottom"/>
            <w:vMerge w:val="restart"/>
          </w:tcPr>
          <w:p>
            <w:pPr>
              <w:ind w:left="28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20"/>
                <w:szCs w:val="20"/>
                <w:color w:val="auto"/>
              </w:rPr>
            </w:pPr>
          </w:p>
        </w:tc>
        <w:tc>
          <w:tcPr>
            <w:tcW w:w="80" w:type="dxa"/>
            <w:vAlign w:val="bottom"/>
            <w:tcBorders>
              <w:bottom w:val="single" w:sz="8" w:color="2C2C2C"/>
            </w:tcBorders>
          </w:tcPr>
          <w:p>
            <w:pPr>
              <w:spacing w:after="0"/>
              <w:rPr>
                <w:sz w:val="20"/>
                <w:szCs w:val="20"/>
                <w:color w:val="auto"/>
              </w:rPr>
            </w:pPr>
          </w:p>
        </w:tc>
        <w:tc>
          <w:tcPr>
            <w:tcW w:w="120" w:type="dxa"/>
            <w:vAlign w:val="bottom"/>
            <w:tcBorders>
              <w:bottom w:val="single" w:sz="8" w:color="2C2C2C"/>
            </w:tcBorders>
          </w:tcPr>
          <w:p>
            <w:pPr>
              <w:spacing w:after="0"/>
              <w:rPr>
                <w:sz w:val="20"/>
                <w:szCs w:val="20"/>
                <w:color w:val="auto"/>
              </w:rPr>
            </w:pPr>
          </w:p>
        </w:tc>
        <w:tc>
          <w:tcPr>
            <w:tcW w:w="2940" w:type="dxa"/>
            <w:vAlign w:val="bottom"/>
            <w:tcBorders>
              <w:bottom w:val="single" w:sz="8" w:color="2C2C2C"/>
            </w:tcBorders>
          </w:tcPr>
          <w:p>
            <w:pPr>
              <w:spacing w:after="0"/>
              <w:rPr>
                <w:sz w:val="20"/>
                <w:szCs w:val="20"/>
                <w:color w:val="auto"/>
              </w:rPr>
            </w:pPr>
          </w:p>
        </w:tc>
        <w:tc>
          <w:tcPr>
            <w:tcW w:w="680" w:type="dxa"/>
            <w:vAlign w:val="bottom"/>
            <w:tcBorders>
              <w:bottom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55"/>
        </w:trPr>
        <w:tc>
          <w:tcPr>
            <w:tcW w:w="40" w:type="dxa"/>
            <w:vAlign w:val="bottom"/>
          </w:tcPr>
          <w:p>
            <w:pPr>
              <w:spacing w:after="0"/>
              <w:rPr>
                <w:sz w:val="4"/>
                <w:szCs w:val="4"/>
                <w:color w:val="auto"/>
              </w:rPr>
            </w:pPr>
          </w:p>
        </w:tc>
        <w:tc>
          <w:tcPr>
            <w:tcW w:w="780" w:type="dxa"/>
            <w:vAlign w:val="bottom"/>
            <w:vMerge w:val="continue"/>
          </w:tcPr>
          <w:p>
            <w:pPr>
              <w:spacing w:after="0"/>
              <w:rPr>
                <w:sz w:val="4"/>
                <w:szCs w:val="4"/>
                <w:color w:val="auto"/>
              </w:rPr>
            </w:pPr>
          </w:p>
        </w:tc>
        <w:tc>
          <w:tcPr>
            <w:tcW w:w="1380" w:type="dxa"/>
            <w:vAlign w:val="bottom"/>
            <w:vMerge w:val="continue"/>
          </w:tcPr>
          <w:p>
            <w:pPr>
              <w:spacing w:after="0"/>
              <w:rPr>
                <w:sz w:val="4"/>
                <w:szCs w:val="4"/>
                <w:color w:val="auto"/>
              </w:rPr>
            </w:pPr>
          </w:p>
        </w:tc>
        <w:tc>
          <w:tcPr>
            <w:tcW w:w="1480" w:type="dxa"/>
            <w:vAlign w:val="bottom"/>
            <w:vMerge w:val="continue"/>
          </w:tcPr>
          <w:p>
            <w:pPr>
              <w:spacing w:after="0"/>
              <w:rPr>
                <w:sz w:val="4"/>
                <w:szCs w:val="4"/>
                <w:color w:val="auto"/>
              </w:rPr>
            </w:pPr>
          </w:p>
        </w:tc>
        <w:tc>
          <w:tcPr>
            <w:tcW w:w="280" w:type="dxa"/>
            <w:vAlign w:val="bottom"/>
            <w:gridSpan w:val="3"/>
            <w:vMerge w:val="restart"/>
          </w:tcPr>
          <w:p>
            <w:pPr>
              <w:ind w:left="16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16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2929 ARCH STREET</w:t>
            </w:r>
          </w:p>
        </w:tc>
        <w:tc>
          <w:tcPr>
            <w:tcW w:w="1480" w:type="dxa"/>
            <w:vAlign w:val="bottom"/>
          </w:tcPr>
          <w:p>
            <w:pPr>
              <w:spacing w:after="0"/>
              <w:rPr>
                <w:sz w:val="11"/>
                <w:szCs w:val="11"/>
                <w:color w:val="auto"/>
              </w:rPr>
            </w:pPr>
          </w:p>
        </w:tc>
        <w:tc>
          <w:tcPr>
            <w:tcW w:w="280" w:type="dxa"/>
            <w:vAlign w:val="bottom"/>
            <w:gridSpan w:val="3"/>
            <w:vMerge w:val="continue"/>
          </w:tcPr>
          <w:p>
            <w:pPr>
              <w:spacing w:after="0"/>
              <w:rPr>
                <w:sz w:val="11"/>
                <w:szCs w:val="11"/>
                <w:color w:val="auto"/>
              </w:rPr>
            </w:pPr>
          </w:p>
        </w:tc>
        <w:tc>
          <w:tcPr>
            <w:tcW w:w="362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40" w:type="dxa"/>
            <w:vAlign w:val="bottom"/>
          </w:tcPr>
          <w:p>
            <w:pPr>
              <w:spacing w:after="0"/>
              <w:rPr>
                <w:sz w:val="12"/>
                <w:szCs w:val="12"/>
                <w:color w:val="auto"/>
              </w:rPr>
            </w:pPr>
          </w:p>
        </w:tc>
        <w:tc>
          <w:tcPr>
            <w:tcW w:w="2160" w:type="dxa"/>
            <w:vAlign w:val="bottom"/>
            <w:gridSpan w:val="2"/>
            <w:vMerge w:val="continue"/>
          </w:tcPr>
          <w:p>
            <w:pPr>
              <w:spacing w:after="0"/>
              <w:rPr>
                <w:sz w:val="12"/>
                <w:szCs w:val="12"/>
                <w:color w:val="auto"/>
              </w:rPr>
            </w:pPr>
          </w:p>
        </w:tc>
        <w:tc>
          <w:tcPr>
            <w:tcW w:w="1480" w:type="dxa"/>
            <w:vAlign w:val="bottom"/>
          </w:tcPr>
          <w:p>
            <w:pPr>
              <w:spacing w:after="0"/>
              <w:rPr>
                <w:sz w:val="12"/>
                <w:szCs w:val="12"/>
                <w:color w:val="auto"/>
              </w:rPr>
            </w:pPr>
          </w:p>
        </w:tc>
        <w:tc>
          <w:tcPr>
            <w:tcW w:w="3220" w:type="dxa"/>
            <w:vAlign w:val="bottom"/>
            <w:gridSpan w:val="4"/>
            <w:vMerge w:val="restart"/>
          </w:tcPr>
          <w:p>
            <w:pPr>
              <w:ind w:left="160"/>
              <w:spacing w:after="0"/>
              <w:rPr>
                <w:sz w:val="20"/>
                <w:szCs w:val="20"/>
                <w:color w:val="auto"/>
              </w:rPr>
            </w:pPr>
            <w:r>
              <w:rPr>
                <w:rFonts w:ascii="Times New Roman" w:cs="Times New Roman" w:eastAsia="Times New Roman" w:hAnsi="Times New Roman"/>
                <w:sz w:val="17"/>
                <w:szCs w:val="17"/>
                <w:color w:val="0000FF"/>
              </w:rPr>
              <w:t>04/15/2026</w:t>
            </w: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1380" w:type="dxa"/>
            <w:vAlign w:val="bottom"/>
          </w:tcPr>
          <w:p>
            <w:pPr>
              <w:spacing w:after="0"/>
              <w:rPr>
                <w:sz w:val="5"/>
                <w:szCs w:val="5"/>
                <w:color w:val="auto"/>
              </w:rPr>
            </w:pPr>
          </w:p>
        </w:tc>
        <w:tc>
          <w:tcPr>
            <w:tcW w:w="1480" w:type="dxa"/>
            <w:vAlign w:val="bottom"/>
          </w:tcPr>
          <w:p>
            <w:pPr>
              <w:spacing w:after="0"/>
              <w:rPr>
                <w:sz w:val="5"/>
                <w:szCs w:val="5"/>
                <w:color w:val="auto"/>
              </w:rPr>
            </w:pPr>
          </w:p>
        </w:tc>
        <w:tc>
          <w:tcPr>
            <w:tcW w:w="3220" w:type="dxa"/>
            <w:vAlign w:val="bottom"/>
            <w:gridSpan w:val="4"/>
            <w:vMerge w:val="continue"/>
          </w:tcPr>
          <w:p>
            <w:pPr>
              <w:spacing w:after="0"/>
              <w:rPr>
                <w:sz w:val="5"/>
                <w:szCs w:val="5"/>
                <w:color w:val="auto"/>
              </w:rPr>
            </w:pPr>
          </w:p>
        </w:tc>
        <w:tc>
          <w:tcPr>
            <w:tcW w:w="680" w:type="dxa"/>
            <w:vAlign w:val="bottom"/>
          </w:tcPr>
          <w:p>
            <w:pPr>
              <w:spacing w:after="0"/>
              <w:rPr>
                <w:sz w:val="5"/>
                <w:szCs w:val="5"/>
                <w:color w:val="auto"/>
              </w:rPr>
            </w:pPr>
          </w:p>
        </w:tc>
        <w:tc>
          <w:tcPr>
            <w:tcW w:w="0" w:type="dxa"/>
            <w:vAlign w:val="bottom"/>
          </w:tcPr>
          <w:p>
            <w:pPr>
              <w:spacing w:after="0"/>
              <w:rPr>
                <w:sz w:val="1"/>
                <w:szCs w:val="1"/>
                <w:color w:val="auto"/>
              </w:rPr>
            </w:pPr>
          </w:p>
        </w:tc>
      </w:tr>
    </w:tbl>
    <w:p>
      <w:pPr>
        <w:ind w:left="120"/>
        <w:spacing w:after="0"/>
        <w:rPr>
          <w:sz w:val="20"/>
          <w:szCs w:val="20"/>
          <w:color w:val="auto"/>
        </w:rPr>
      </w:pPr>
      <w:r>
        <w:rPr>
          <w:rFonts w:ascii="Times New Roman" w:cs="Times New Roman" w:eastAsia="Times New Roman" w:hAnsi="Times New Roman"/>
          <w:sz w:val="17"/>
          <w:szCs w:val="17"/>
          <w:color w:val="0000FF"/>
        </w:rPr>
        <w:t>SUITE 1800</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0"/>
          <w:szCs w:val="20"/>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0"/>
          <w:szCs w:val="20"/>
          <w:color w:val="auto"/>
        </w:rPr>
      </w:pPr>
    </w:p>
    <w:p>
      <w:pPr>
        <w:ind w:left="925"/>
        <w:spacing w:after="0"/>
        <w:rPr>
          <w:sz w:val="20"/>
          <w:szCs w:val="20"/>
          <w:color w:val="auto"/>
        </w:rPr>
      </w:pPr>
      <w:r>
        <w:rPr>
          <w:rFonts w:ascii="Times New Roman" w:cs="Times New Roman" w:eastAsia="Times New Roman" w:hAnsi="Times New Roman"/>
          <w:sz w:val="17"/>
          <w:szCs w:val="17"/>
          <w:color w:val="0000FF"/>
        </w:rPr>
        <w:t>President and CEO</w:t>
      </w:r>
    </w:p>
    <w:p>
      <w:pPr>
        <w:spacing w:after="0" w:line="432" w:lineRule="exact"/>
        <w:rPr>
          <w:sz w:val="20"/>
          <w:szCs w:val="20"/>
          <w:color w:val="auto"/>
        </w:rPr>
      </w:pPr>
    </w:p>
    <w:p>
      <w:pPr>
        <w:sectPr>
          <w:pgSz w:w="11900" w:h="16838" w:orient="portrait"/>
          <w:cols w:equalWidth="0" w:num="2">
            <w:col w:w="7660" w:space="75"/>
            <w:col w:w="3345"/>
          </w:cols>
          <w:pgMar w:left="460" w:top="219" w:right="359" w:bottom="1440" w:gutter="0" w:footer="0" w:header="0"/>
          <w:type w:val="continuous"/>
        </w:sectPr>
      </w:pPr>
    </w:p>
    <w:p>
      <w:pPr>
        <w:spacing w:after="0" w:line="213"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8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20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PHILADELPHIA PA</w:t>
            </w:r>
          </w:p>
        </w:tc>
        <w:tc>
          <w:tcPr>
            <w:tcW w:w="1600" w:type="dxa"/>
            <w:vAlign w:val="bottom"/>
          </w:tcPr>
          <w:p>
            <w:pPr>
              <w:jc w:val="right"/>
              <w:ind w:right="643"/>
              <w:spacing w:after="0"/>
              <w:rPr>
                <w:sz w:val="20"/>
                <w:szCs w:val="20"/>
                <w:color w:val="auto"/>
              </w:rPr>
            </w:pPr>
            <w:r>
              <w:rPr>
                <w:rFonts w:ascii="Times New Roman" w:cs="Times New Roman" w:eastAsia="Times New Roman" w:hAnsi="Times New Roman"/>
                <w:sz w:val="17"/>
                <w:szCs w:val="17"/>
                <w:color w:val="0000FF"/>
              </w:rPr>
              <w:t>19104</w:t>
            </w:r>
          </w:p>
        </w:tc>
      </w:tr>
      <w:tr>
        <w:trPr>
          <w:trHeight w:val="155"/>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(City)</w:t>
            </w:r>
          </w:p>
        </w:tc>
        <w:tc>
          <w:tcPr>
            <w:tcW w:w="1220" w:type="dxa"/>
            <w:vAlign w:val="bottom"/>
          </w:tcPr>
          <w:p>
            <w:pPr>
              <w:ind w:left="400"/>
              <w:spacing w:after="0"/>
              <w:rPr>
                <w:sz w:val="20"/>
                <w:szCs w:val="20"/>
                <w:color w:val="auto"/>
              </w:rPr>
            </w:pPr>
            <w:r>
              <w:rPr>
                <w:rFonts w:ascii="Arial" w:cs="Arial" w:eastAsia="Arial" w:hAnsi="Arial"/>
                <w:sz w:val="13"/>
                <w:szCs w:val="13"/>
                <w:color w:val="auto"/>
              </w:rPr>
              <w:t>(State)</w:t>
            </w:r>
          </w:p>
        </w:tc>
        <w:tc>
          <w:tcPr>
            <w:tcW w:w="1600" w:type="dxa"/>
            <w:vAlign w:val="bottom"/>
          </w:tcPr>
          <w:p>
            <w:pPr>
              <w:jc w:val="right"/>
              <w:ind w:right="843"/>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0"/>
          <w:szCs w:val="20"/>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82" w:lineRule="exact"/>
        <w:rPr>
          <w:sz w:val="20"/>
          <w:szCs w:val="20"/>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440" w:type="dxa"/>
            <w:vAlign w:val="bottom"/>
          </w:tcPr>
          <w:p>
            <w:pPr>
              <w:spacing w:after="0"/>
              <w:rPr>
                <w:sz w:val="13"/>
                <w:szCs w:val="13"/>
                <w:color w:val="auto"/>
              </w:rPr>
            </w:pPr>
          </w:p>
        </w:tc>
        <w:tc>
          <w:tcPr>
            <w:tcW w:w="1140" w:type="dxa"/>
            <w:vAlign w:val="bottom"/>
            <w:gridSpan w:val="2"/>
          </w:tcPr>
          <w:p>
            <w:pPr>
              <w:ind w:left="14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196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68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68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68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68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3080" w:type="dxa"/>
            <w:vAlign w:val="bottom"/>
            <w:tcBorders>
              <w:bottom w:val="single" w:sz="8" w:color="2C2C2C"/>
            </w:tcBorders>
            <w:gridSpan w:val="4"/>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308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Common Shares of Beneficial Interest</w:t>
            </w:r>
          </w:p>
        </w:tc>
        <w:tc>
          <w:tcPr>
            <w:tcW w:w="1140" w:type="dxa"/>
            <w:vAlign w:val="bottom"/>
            <w:tcBorders>
              <w:bottom w:val="single" w:sz="8" w:color="2C2C2C"/>
            </w:tcBorders>
            <w:gridSpan w:val="2"/>
          </w:tcPr>
          <w:p>
            <w:pPr>
              <w:jc w:val="right"/>
              <w:ind w:right="60"/>
              <w:spacing w:after="0"/>
              <w:rPr>
                <w:sz w:val="20"/>
                <w:szCs w:val="20"/>
                <w:color w:val="auto"/>
              </w:rPr>
            </w:pPr>
            <w:r>
              <w:rPr>
                <w:rFonts w:ascii="Times New Roman" w:cs="Times New Roman" w:eastAsia="Times New Roman" w:hAnsi="Times New Roman"/>
                <w:sz w:val="17"/>
                <w:szCs w:val="17"/>
                <w:color w:val="0000FF"/>
              </w:rPr>
              <w:t>04/15/2026</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3"/>
                <w:szCs w:val="13"/>
                <w:color w:val="0000FF"/>
              </w:rPr>
              <w:t>F</w:t>
            </w:r>
          </w:p>
        </w:tc>
        <w:tc>
          <w:tcPr>
            <w:tcW w:w="7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97"/>
              </w:rPr>
              <w:t>5,988</w:t>
            </w:r>
            <w:r>
              <w:rPr>
                <w:rFonts w:ascii="Times New Roman" w:cs="Times New Roman" w:eastAsia="Times New Roman" w:hAnsi="Times New Roman"/>
                <w:sz w:val="22"/>
                <w:szCs w:val="22"/>
                <w:color w:val="008000"/>
                <w:w w:val="97"/>
                <w:vertAlign w:val="superscript"/>
              </w:rPr>
              <w:t>(1)</w:t>
            </w:r>
          </w:p>
        </w:tc>
        <w:tc>
          <w:tcPr>
            <w:tcW w:w="4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w w:val="97"/>
              </w:rPr>
              <w:t>D</w:t>
            </w:r>
          </w:p>
        </w:tc>
        <w:tc>
          <w:tcPr>
            <w:tcW w:w="2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3"/>
          </w:tcPr>
          <w:p>
            <w:pPr>
              <w:jc w:val="right"/>
              <w:ind w:righ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2.76</w:t>
            </w:r>
          </w:p>
        </w:tc>
        <w:tc>
          <w:tcPr>
            <w:tcW w:w="1200" w:type="dxa"/>
            <w:vAlign w:val="bottom"/>
            <w:tcBorders>
              <w:bottom w:val="single" w:sz="8" w:color="2C2C2C"/>
            </w:tcBorders>
            <w:gridSpan w:val="2"/>
          </w:tcPr>
          <w:p>
            <w:pPr>
              <w:ind w:left="160"/>
              <w:spacing w:after="0"/>
              <w:rPr>
                <w:sz w:val="20"/>
                <w:szCs w:val="20"/>
                <w:color w:val="auto"/>
              </w:rPr>
            </w:pPr>
            <w:r>
              <w:rPr>
                <w:rFonts w:ascii="Times New Roman" w:cs="Times New Roman" w:eastAsia="Times New Roman" w:hAnsi="Times New Roman"/>
                <w:sz w:val="17"/>
                <w:szCs w:val="17"/>
                <w:color w:val="0000FF"/>
              </w:rPr>
              <w:t>4,169,899</w:t>
            </w:r>
            <w:r>
              <w:rPr>
                <w:rFonts w:ascii="Times New Roman" w:cs="Times New Roman" w:eastAsia="Times New Roman" w:hAnsi="Times New Roman"/>
                <w:sz w:val="22"/>
                <w:szCs w:val="22"/>
                <w:color w:val="008000"/>
                <w:vertAlign w:val="superscript"/>
              </w:rPr>
              <w:t>(2)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5"/>
          </w:tcPr>
          <w:p>
            <w:pPr>
              <w:jc w:val="center"/>
              <w:ind w:left="133"/>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840" w:type="dxa"/>
            <w:vAlign w:val="bottom"/>
            <w:gridSpan w:val="10"/>
          </w:tcPr>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68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withheld to satisfy payroll taxes for vesting or delivery of equity awards.</w:t>
      </w:r>
    </w:p>
    <w:p>
      <w:pPr>
        <w:spacing w:after="0" w:line="50" w:lineRule="exact"/>
        <w:rPr>
          <w:rFonts w:ascii="Times New Roman" w:cs="Times New Roman" w:eastAsia="Times New Roman" w:hAnsi="Times New Roman"/>
          <w:sz w:val="13"/>
          <w:szCs w:val="13"/>
          <w:color w:val="008000"/>
        </w:rPr>
      </w:pPr>
    </w:p>
    <w:p>
      <w:pPr>
        <w:ind w:left="40" w:right="26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filing also reports in the ending balance 4,826.25 additional common shares acquired under the Company's Employee Share Purchase Plan (ESPP). The ESPP shares were purchased following the Reporting Person's last Section 16 filing. Under the ESPP, 4,826.25 shares were acquired on April 10, 2026 at a transaction price of $2.59 per share. The ESPP provides for the purchase of fractional shares. The numbers reported herein are rounded to the nearest whole number.</w:t>
      </w:r>
    </w:p>
    <w:p>
      <w:pPr>
        <w:spacing w:after="0" w:line="37"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15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/s/ Gerard H. Sweeney</w:t>
            </w: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04/17/2026</w:t>
            </w: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0944673" TargetMode="External"/><Relationship Id="rId14" Type="http://schemas.openxmlformats.org/officeDocument/2006/relationships/hyperlink" Target="http://www.sec.gov/cgi-bin/browse-edgar?action=getcompany&amp;CIK=000079081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2026-04-17T08:20:50Z</dcterms:created>
  <dcterms:modified xsi:type="dcterms:W3CDTF">2026-04-17T08:20:50Z</dcterms:modified>
</cp:coreProperties>
</file>